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：</w:t>
      </w:r>
      <w:r>
        <w:rPr>
          <w:b/>
          <w:sz w:val="32"/>
          <w:szCs w:val="32"/>
        </w:rPr>
        <w:t xml:space="preserve">             201</w:t>
      </w:r>
      <w:r>
        <w:rPr>
          <w:rFonts w:hint="eastAsia"/>
          <w:b/>
          <w:sz w:val="32"/>
          <w:szCs w:val="32"/>
          <w:lang w:val="en-US" w:eastAsia="zh-CN"/>
        </w:rPr>
        <w:t>7</w:t>
      </w:r>
      <w:r>
        <w:rPr>
          <w:b/>
          <w:sz w:val="32"/>
          <w:szCs w:val="32"/>
        </w:rPr>
        <w:t>-201</w:t>
      </w:r>
      <w:r>
        <w:rPr>
          <w:rFonts w:hint="eastAsia"/>
          <w:b/>
          <w:sz w:val="32"/>
          <w:szCs w:val="32"/>
          <w:lang w:val="en-US" w:eastAsia="zh-CN"/>
        </w:rPr>
        <w:t>8</w:t>
      </w:r>
      <w:r>
        <w:rPr>
          <w:b/>
          <w:sz w:val="32"/>
          <w:szCs w:val="32"/>
        </w:rPr>
        <w:t>-</w:t>
      </w:r>
      <w:r>
        <w:rPr>
          <w:rFonts w:hint="eastAsia"/>
          <w:b/>
          <w:sz w:val="32"/>
          <w:szCs w:val="32"/>
          <w:lang w:val="en-US" w:eastAsia="zh-CN"/>
        </w:rPr>
        <w:t>1</w:t>
      </w:r>
      <w:r>
        <w:rPr>
          <w:rFonts w:hint="eastAsia"/>
          <w:b/>
          <w:sz w:val="32"/>
          <w:szCs w:val="32"/>
        </w:rPr>
        <w:t>学期教学资料检查绩效考核表</w:t>
      </w:r>
    </w:p>
    <w:p>
      <w:pPr>
        <w:spacing w:after="156" w:afterLines="50" w:line="400" w:lineRule="exact"/>
        <w:ind w:firstLine="482" w:firstLineChars="200"/>
        <w:jc w:val="center"/>
        <w:rPr>
          <w:rFonts w:eastAsia="黑体"/>
          <w:b/>
          <w:sz w:val="24"/>
        </w:rPr>
      </w:pPr>
      <w:r>
        <w:rPr>
          <w:rFonts w:hint="eastAsia" w:eastAsia="黑体"/>
          <w:b/>
          <w:sz w:val="24"/>
        </w:rPr>
        <w:t>系别</w:t>
      </w:r>
      <w:r>
        <w:rPr>
          <w:rFonts w:hint="eastAsia" w:eastAsia="黑体"/>
          <w:b/>
          <w:sz w:val="24"/>
          <w:lang w:eastAsia="zh-CN"/>
        </w:rPr>
        <w:t>（盖章）</w:t>
      </w:r>
      <w:r>
        <w:rPr>
          <w:rFonts w:hint="eastAsia" w:eastAsia="黑体"/>
          <w:b/>
          <w:sz w:val="24"/>
        </w:rPr>
        <w:t>：</w:t>
      </w:r>
      <w:r>
        <w:rPr>
          <w:rFonts w:eastAsia="黑体"/>
          <w:b/>
          <w:sz w:val="24"/>
        </w:rPr>
        <w:t xml:space="preserve">                                                                                    </w:t>
      </w:r>
      <w:r>
        <w:rPr>
          <w:rFonts w:hint="eastAsia" w:eastAsia="黑体"/>
          <w:b/>
          <w:sz w:val="24"/>
        </w:rPr>
        <w:t>年</w:t>
      </w:r>
      <w:r>
        <w:rPr>
          <w:rFonts w:eastAsia="黑体"/>
          <w:b/>
          <w:sz w:val="24"/>
        </w:rPr>
        <w:t xml:space="preserve">    </w:t>
      </w:r>
      <w:r>
        <w:rPr>
          <w:rFonts w:hint="eastAsia" w:eastAsia="黑体"/>
          <w:b/>
          <w:sz w:val="24"/>
        </w:rPr>
        <w:t>月</w:t>
      </w:r>
      <w:r>
        <w:rPr>
          <w:rFonts w:eastAsia="黑体"/>
          <w:b/>
          <w:sz w:val="24"/>
        </w:rPr>
        <w:t xml:space="preserve">    </w:t>
      </w:r>
      <w:r>
        <w:rPr>
          <w:rFonts w:hint="eastAsia" w:eastAsia="黑体"/>
          <w:b/>
          <w:sz w:val="24"/>
        </w:rPr>
        <w:t>日</w:t>
      </w:r>
    </w:p>
    <w:tbl>
      <w:tblPr>
        <w:tblStyle w:val="10"/>
        <w:tblW w:w="13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00"/>
        <w:gridCol w:w="882"/>
        <w:gridCol w:w="785"/>
        <w:gridCol w:w="9997"/>
        <w:gridCol w:w="508"/>
        <w:gridCol w:w="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9" w:hRule="atLeast"/>
          <w:jc w:val="center"/>
        </w:trPr>
        <w:tc>
          <w:tcPr>
            <w:tcW w:w="10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二级指标</w:t>
            </w:r>
          </w:p>
        </w:tc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三级指标</w:t>
            </w: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权重分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检查标准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自查扣分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检查扣分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8" w:hRule="atLeast"/>
          <w:jc w:val="center"/>
        </w:trPr>
        <w:tc>
          <w:tcPr>
            <w:tcW w:w="10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环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节</w:t>
            </w: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教学计划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997" w:type="dxa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按时准确录入、维护教务系统中教学计划，通报一次扣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分；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hint="eastAsia"/>
                <w:szCs w:val="21"/>
                <w:lang w:val="en-US" w:eastAsia="zh-CN"/>
              </w:rPr>
            </w:pPr>
            <w:r>
              <w:rPr>
                <w:szCs w:val="21"/>
              </w:rPr>
              <w:t>2.</w:t>
            </w:r>
            <w:r>
              <w:rPr>
                <w:rFonts w:hint="eastAsia"/>
                <w:szCs w:val="21"/>
              </w:rPr>
              <w:t>教学计划相对稳定并能严格执行，临时更改教学计划一次扣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</w:t>
            </w:r>
            <w:r>
              <w:rPr>
                <w:rFonts w:hint="eastAsia"/>
                <w:szCs w:val="21"/>
                <w:lang w:eastAsia="zh-CN"/>
              </w:rPr>
              <w:t>；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3.聘任教师及时、安排合理并按时下达《教学任务书》；</w:t>
            </w:r>
            <w:r>
              <w:rPr>
                <w:rFonts w:hint="eastAsia"/>
                <w:szCs w:val="21"/>
              </w:rPr>
              <w:t>通报一次扣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6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教学任务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9997" w:type="dxa"/>
            <w:vAlign w:val="center"/>
          </w:tcPr>
          <w:p>
            <w:pPr>
              <w:rPr>
                <w:rFonts w:hint="eastAsia"/>
                <w:szCs w:val="21"/>
                <w:lang w:val="en-US" w:eastAsia="zh-CN"/>
              </w:rPr>
            </w:pP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教学任务落实及时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通报一次扣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分；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4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szCs w:val="21"/>
              </w:rPr>
              <w:t>2.</w:t>
            </w:r>
            <w:r>
              <w:rPr>
                <w:rFonts w:hint="eastAsia"/>
                <w:szCs w:val="21"/>
              </w:rPr>
              <w:t>教学任务安排录入教务系统后无差错，因安排错误进行调整，影响排课、排考进程的每次扣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6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3.班级教学日志是否如实填写，是否每周统计并上报；漏报一次</w:t>
            </w:r>
            <w:r>
              <w:rPr>
                <w:rFonts w:hint="eastAsia" w:ascii="宋体" w:hAnsi="宋体"/>
                <w:color w:val="000000"/>
                <w:szCs w:val="21"/>
              </w:rPr>
              <w:t>扣</w:t>
            </w:r>
            <w:r>
              <w:rPr>
                <w:rFonts w:ascii="宋体" w:hAnsi="宋体"/>
                <w:color w:val="000000"/>
                <w:szCs w:val="21"/>
              </w:rPr>
              <w:t>0.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教研活动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997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有完备的教研活动计划和活动记录，有教研室总结（教研室工作手册）；每缺一项扣</w:t>
            </w:r>
            <w:r>
              <w:rPr>
                <w:rFonts w:hint="eastAsia"/>
                <w:szCs w:val="21"/>
                <w:lang w:val="en-US" w:eastAsia="zh-CN"/>
              </w:rPr>
              <w:t>1分；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9997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听课次数符合要求</w:t>
            </w:r>
            <w:r>
              <w:rPr>
                <w:rFonts w:hint="eastAsia"/>
                <w:szCs w:val="21"/>
                <w:lang w:val="en-US" w:eastAsia="zh-CN"/>
              </w:rPr>
              <w:t>(听课记录本），少一次</w:t>
            </w:r>
            <w:r>
              <w:rPr>
                <w:rFonts w:hint="eastAsia" w:ascii="宋体" w:hAnsi="宋体"/>
                <w:color w:val="000000"/>
                <w:szCs w:val="21"/>
              </w:rPr>
              <w:t>扣</w:t>
            </w:r>
            <w:r>
              <w:rPr>
                <w:rFonts w:ascii="宋体" w:hAnsi="宋体"/>
                <w:color w:val="000000"/>
                <w:szCs w:val="21"/>
              </w:rPr>
              <w:t>0.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7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教材征订</w:t>
            </w: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能够按教务处规定选订合适的教材，通报一次扣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分；采用与企业（行业）合编教材数量未达到课程总量</w:t>
            </w:r>
            <w:r>
              <w:rPr>
                <w:szCs w:val="21"/>
              </w:rPr>
              <w:t>10%</w:t>
            </w:r>
            <w:r>
              <w:rPr>
                <w:rFonts w:hint="eastAsia"/>
                <w:szCs w:val="21"/>
              </w:rPr>
              <w:t>，每少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个百分点</w:t>
            </w:r>
            <w:r>
              <w:rPr>
                <w:rFonts w:hint="eastAsia"/>
                <w:szCs w:val="21"/>
                <w:lang w:eastAsia="zh-CN"/>
              </w:rPr>
              <w:t>扣</w:t>
            </w:r>
            <w:r>
              <w:rPr>
                <w:szCs w:val="21"/>
              </w:rPr>
              <w:t>0.5</w:t>
            </w:r>
            <w:r>
              <w:rPr>
                <w:rFonts w:hint="eastAsia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备课及作业批改</w:t>
            </w:r>
            <w:r>
              <w:rPr>
                <w:rFonts w:ascii="宋体" w:hAnsi="宋体"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Cs w:val="21"/>
              </w:rPr>
              <w:t>（讲稿）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szCs w:val="21"/>
              </w:rPr>
              <w:t>有完备的纸质授课计划、教学方案（讲稿），抽查每缺一项扣</w:t>
            </w:r>
            <w:r>
              <w:rPr>
                <w:rFonts w:ascii="宋体" w:hAnsi="宋体"/>
                <w:color w:val="000000"/>
                <w:szCs w:val="21"/>
              </w:rPr>
              <w:t>0.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授课计划进度适宜，教学方案（讲稿）编写认真质量高，在抽查中，评价为差扣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2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</w:t>
            </w:r>
            <w:r>
              <w:rPr>
                <w:rFonts w:hint="eastAsia" w:ascii="宋体" w:hAnsi="宋体"/>
                <w:color w:val="000000"/>
                <w:szCs w:val="21"/>
              </w:rPr>
              <w:t>作业安排适度，批改认真，在抽查中，评价为差扣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1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考试考核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Cs w:val="21"/>
              </w:rPr>
              <w:t>（试卷）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szCs w:val="21"/>
              </w:rPr>
              <w:t>考试课程阅卷无差错，在抽查中，出错率低于</w:t>
            </w:r>
            <w:r>
              <w:rPr>
                <w:rFonts w:ascii="宋体" w:hAnsi="宋体"/>
                <w:color w:val="000000"/>
                <w:szCs w:val="21"/>
              </w:rPr>
              <w:t>2%</w:t>
            </w:r>
            <w:r>
              <w:rPr>
                <w:rFonts w:hint="eastAsia" w:ascii="宋体" w:hAnsi="宋体"/>
                <w:color w:val="000000"/>
                <w:szCs w:val="21"/>
              </w:rPr>
              <w:t>，超过扣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考查课程有考核方案，考核符合课程要求，并能按照考核方案实施，考核资料归档，在抽查中，评价为差扣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3.学生考试纪律是否严明，监考教师是否认真负责，试卷有无泄题现象，试卷题目是否科学合理；</w:t>
            </w:r>
            <w:r>
              <w:rPr>
                <w:rFonts w:hint="eastAsia"/>
                <w:szCs w:val="21"/>
              </w:rPr>
              <w:t>通报一次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  <w:lang w:eastAsia="zh-CN"/>
              </w:rPr>
              <w:t>项</w:t>
            </w:r>
            <w:r>
              <w:rPr>
                <w:rFonts w:hint="eastAsia"/>
                <w:szCs w:val="21"/>
              </w:rPr>
              <w:t>扣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分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9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成绩报送及分析</w:t>
            </w:r>
            <w:r>
              <w:rPr>
                <w:rFonts w:ascii="宋体" w:hAnsi="宋体"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Cs w:val="21"/>
              </w:rPr>
              <w:t>（试卷）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szCs w:val="21"/>
              </w:rPr>
              <w:t>成绩及分析录入、上报教务系统及时,迟报扣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  <w:r>
              <w:rPr>
                <w:rFonts w:ascii="宋体" w:hAnsi="宋体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天，错误扣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  <w:r>
              <w:rPr>
                <w:rFonts w:ascii="宋体" w:hAnsi="宋体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次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2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每门课程有考试成绩分析，考试成绩分析表规范，不符合要求的扣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</w:t>
            </w: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5" w:hRule="atLeast"/>
          <w:jc w:val="center"/>
        </w:trPr>
        <w:tc>
          <w:tcPr>
            <w:tcW w:w="10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践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教学内容与体系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1.按要求形成各专业完善的实践教学体系设计，体系设计符合专业培养方案，实训环节清晰，实训项目程序安排操作性强；抽查中，评价为差扣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8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2.各实训课程有高质量的实训项目书、实训指导书，抽查中，缺一项扣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分，评价为差扣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校外实习基地建设</w:t>
            </w: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1.有稳定的校外实习基地</w:t>
            </w:r>
            <w:r>
              <w:rPr>
                <w:rFonts w:hint="eastAsia" w:ascii="宋体" w:hAnsi="宋体"/>
                <w:color w:val="000000"/>
                <w:szCs w:val="21"/>
              </w:rPr>
              <w:t>（年安排顶岗实习工科类</w:t>
            </w:r>
            <w:r>
              <w:rPr>
                <w:rFonts w:ascii="宋体" w:hAnsi="宋体"/>
                <w:color w:val="00000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szCs w:val="21"/>
              </w:rPr>
              <w:t>人以上；文管类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人以上），</w:t>
            </w:r>
            <w:r>
              <w:rPr>
                <w:rFonts w:hint="eastAsia" w:ascii="宋体" w:hAnsi="宋体"/>
                <w:szCs w:val="21"/>
              </w:rPr>
              <w:t>合作协议完备，少一个扣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hint="eastAsia" w:ascii="宋体" w:hAnsi="宋体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顶岗实习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落实</w:t>
            </w: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1.由教学</w:t>
            </w:r>
            <w:r>
              <w:rPr>
                <w:rFonts w:hint="eastAsia" w:ascii="宋体" w:hAnsi="宋体"/>
                <w:szCs w:val="21"/>
              </w:rPr>
              <w:t>院系统一安排人数达实习总人数</w:t>
            </w:r>
            <w:r>
              <w:rPr>
                <w:rFonts w:ascii="宋体" w:hAnsi="宋体"/>
                <w:szCs w:val="21"/>
              </w:rPr>
              <w:t>50</w:t>
            </w:r>
            <w:r>
              <w:rPr>
                <w:rFonts w:hint="eastAsia" w:ascii="宋体" w:hAnsi="宋体"/>
                <w:szCs w:val="21"/>
              </w:rPr>
              <w:t>％以上</w:t>
            </w:r>
            <w:r>
              <w:rPr>
                <w:rFonts w:hint="eastAsia" w:ascii="宋体" w:hAnsi="宋体"/>
                <w:color w:val="000000"/>
                <w:szCs w:val="21"/>
              </w:rPr>
              <w:t>，每低</w:t>
            </w:r>
            <w:r>
              <w:rPr>
                <w:rFonts w:ascii="宋体" w:hAnsi="宋体"/>
                <w:color w:val="000000"/>
                <w:szCs w:val="21"/>
              </w:rPr>
              <w:t>5</w:t>
            </w:r>
            <w:r>
              <w:rPr>
                <w:rFonts w:hint="eastAsia" w:ascii="宋体" w:hAnsi="宋体"/>
                <w:color w:val="000000"/>
                <w:szCs w:val="21"/>
              </w:rPr>
              <w:t>个百分点扣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8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顶岗实习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管理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1.每次实习均需召开实习动员会，强调实习纪律，进行实习安排，同批次</w:t>
            </w:r>
            <w:r>
              <w:rPr>
                <w:rFonts w:ascii="宋体" w:hAnsi="宋体"/>
                <w:color w:val="00000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szCs w:val="21"/>
              </w:rPr>
              <w:t>个班级及以下的教学院长需到会要求，同批次</w:t>
            </w:r>
            <w:r>
              <w:rPr>
                <w:rFonts w:ascii="宋体" w:hAnsi="宋体"/>
                <w:color w:val="00000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szCs w:val="21"/>
              </w:rPr>
              <w:t>个班级以上的院长需到会要求，留有会议记录；不能完成的一次扣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1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2.对顶岗实习学生每月至少组织一次现场巡查，留有巡查记录，少一次扣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3.指导教师每周至少召开远程指导会议一次或通过</w:t>
            </w:r>
            <w:r>
              <w:rPr>
                <w:rFonts w:ascii="宋体" w:hAnsi="宋体"/>
                <w:color w:val="000000"/>
                <w:szCs w:val="21"/>
              </w:rPr>
              <w:t>QQ</w:t>
            </w:r>
            <w:r>
              <w:rPr>
                <w:rFonts w:hint="eastAsia" w:ascii="宋体" w:hAnsi="宋体"/>
                <w:color w:val="000000"/>
                <w:szCs w:val="21"/>
              </w:rPr>
              <w:t>与每位学生联系指导一次，留有指导记录，少一次扣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1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4.顶岗实习岗位流失低，已落实的实习岗位，学生无特殊原因擅自离开岗位，一人次扣</w:t>
            </w:r>
            <w:r>
              <w:rPr>
                <w:rFonts w:ascii="宋体" w:hAnsi="宋体"/>
                <w:szCs w:val="21"/>
              </w:rPr>
              <w:t>0.2</w:t>
            </w:r>
            <w:r>
              <w:rPr>
                <w:rFonts w:hint="eastAsia" w:ascii="宋体" w:hAnsi="宋体"/>
                <w:szCs w:val="21"/>
              </w:rPr>
              <w:t>分，无法取得联系的一人次扣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顶岗实习分析与反馈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1.经常对顶岗实习学生进行跟踪调研，编写调查报告反馈开设课程效果和实习安排，调研人数不低于</w:t>
            </w:r>
            <w:r>
              <w:rPr>
                <w:rFonts w:ascii="宋体" w:hAnsi="宋体"/>
                <w:szCs w:val="21"/>
              </w:rPr>
              <w:t>30</w:t>
            </w:r>
            <w:r>
              <w:rPr>
                <w:rFonts w:ascii="宋体" w:hAnsi="宋体"/>
                <w:color w:val="000000"/>
                <w:szCs w:val="21"/>
              </w:rPr>
              <w:t>%</w:t>
            </w:r>
            <w:r>
              <w:rPr>
                <w:rFonts w:hint="eastAsia" w:ascii="宋体" w:hAnsi="宋体"/>
                <w:color w:val="000000"/>
                <w:szCs w:val="21"/>
              </w:rPr>
              <w:t>，每低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个百分点扣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分，调查报告</w:t>
            </w:r>
            <w:r>
              <w:rPr>
                <w:rFonts w:hint="eastAsia" w:ascii="宋体" w:hAnsi="宋体"/>
                <w:szCs w:val="21"/>
              </w:rPr>
              <w:t>通报一次扣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hint="eastAsia" w:ascii="宋体" w:hAnsi="宋体"/>
                <w:szCs w:val="21"/>
              </w:rPr>
              <w:t>分，</w:t>
            </w:r>
            <w:r>
              <w:rPr>
                <w:rFonts w:hint="eastAsia" w:ascii="宋体" w:hAnsi="宋体"/>
                <w:color w:val="000000"/>
                <w:szCs w:val="21"/>
              </w:rPr>
              <w:t>评价为差的扣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分，评价为一般的扣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6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2.及时提交教学院学年度顶岗实习总结分析，通报一次扣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hint="eastAsia" w:ascii="宋体" w:hAnsi="宋体"/>
                <w:szCs w:val="21"/>
              </w:rPr>
              <w:t>分，</w:t>
            </w:r>
            <w:r>
              <w:rPr>
                <w:rFonts w:hint="eastAsia" w:ascii="宋体" w:hAnsi="宋体"/>
                <w:color w:val="000000"/>
                <w:szCs w:val="21"/>
              </w:rPr>
              <w:t>评价为差的扣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分，评价为一般的扣</w:t>
            </w:r>
            <w:r>
              <w:rPr>
                <w:rFonts w:ascii="宋体" w:hAnsi="宋体"/>
                <w:color w:val="000000"/>
                <w:szCs w:val="21"/>
              </w:rPr>
              <w:t>0.5</w:t>
            </w:r>
            <w:r>
              <w:rPr>
                <w:rFonts w:hint="eastAsia" w:ascii="宋体" w:hAnsi="宋体"/>
                <w:color w:val="000000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顶岗实习资料与数据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1.顶岗实习任务书、指导书、实习登记表等资料齐备，每少一项扣</w:t>
            </w:r>
            <w:r>
              <w:rPr>
                <w:rFonts w:ascii="宋体" w:hAnsi="宋体"/>
                <w:szCs w:val="21"/>
              </w:rPr>
              <w:t>0.2</w:t>
            </w:r>
            <w:r>
              <w:rPr>
                <w:rFonts w:hint="eastAsia" w:ascii="宋体" w:hAnsi="宋体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2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2.顶岗实习学生数据的审核能够按时提交，通报一次扣</w:t>
            </w:r>
            <w:r>
              <w:rPr>
                <w:rFonts w:ascii="宋体" w:hAnsi="宋体"/>
                <w:szCs w:val="21"/>
              </w:rPr>
              <w:t>0.5</w:t>
            </w:r>
            <w:r>
              <w:rPr>
                <w:rFonts w:hint="eastAsia" w:ascii="宋体" w:hAnsi="宋体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2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职业技能鉴定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1.职业技能鉴定项目备案，每少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项扣</w:t>
            </w:r>
            <w:r>
              <w:rPr>
                <w:rFonts w:ascii="宋体" w:hAnsi="宋体"/>
                <w:szCs w:val="21"/>
              </w:rPr>
              <w:t>0.2</w:t>
            </w:r>
            <w:r>
              <w:rPr>
                <w:rFonts w:hint="eastAsia" w:ascii="宋体" w:hAnsi="宋体"/>
                <w:szCs w:val="21"/>
              </w:rPr>
              <w:t>分；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2.职业技能鉴定档案管理，每少一类扣</w:t>
            </w:r>
            <w:r>
              <w:rPr>
                <w:rFonts w:ascii="宋体" w:hAnsi="宋体"/>
                <w:szCs w:val="21"/>
              </w:rPr>
              <w:t>0.2</w:t>
            </w:r>
            <w:r>
              <w:rPr>
                <w:rFonts w:hint="eastAsia" w:ascii="宋体" w:hAnsi="宋体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职业资格或技能达标率</w:t>
            </w:r>
          </w:p>
        </w:tc>
        <w:tc>
          <w:tcPr>
            <w:tcW w:w="7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</w:t>
            </w:r>
          </w:p>
        </w:tc>
        <w:tc>
          <w:tcPr>
            <w:tcW w:w="9997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1.符合专业培养方案要求，</w:t>
            </w:r>
            <w:r>
              <w:rPr>
                <w:rFonts w:hint="eastAsia" w:ascii="宋体" w:hAnsi="宋体"/>
                <w:color w:val="000000"/>
                <w:szCs w:val="21"/>
              </w:rPr>
              <w:t>职业技能达标率达</w:t>
            </w:r>
            <w:r>
              <w:rPr>
                <w:rFonts w:ascii="宋体" w:hAnsi="宋体"/>
                <w:color w:val="000000"/>
                <w:szCs w:val="21"/>
              </w:rPr>
              <w:t>100%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低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个百分点扣</w:t>
            </w:r>
            <w:r>
              <w:rPr>
                <w:rFonts w:ascii="宋体" w:hAnsi="宋体"/>
                <w:szCs w:val="21"/>
              </w:rPr>
              <w:t>0.2</w:t>
            </w:r>
            <w:r>
              <w:rPr>
                <w:rFonts w:hint="eastAsia" w:ascii="宋体" w:hAnsi="宋体"/>
                <w:szCs w:val="21"/>
              </w:rPr>
              <w:t>分。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实训室建设与管理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1.实验实训与设备管理制度健全、责任明确，统计信息上报准确；（1分）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2.档案管理齐全规范；（1分）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3.专职实验实训技术人员岗位日志齐全，仪器设备使用记录和维修记录齐全；（1分）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4.严格执行环境与安全制度，责任明确；（1分）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5.易耗、危险、贵重物品进出等级、存放、领用审批管理规范、账目清楚；（1分）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6.积极组织实验实训室开放建设，开放程度与效果好。（1分）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1.设备采购严格执行学校管理制度，保障各类项目的执行和进度；（1分）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2.固定资产、低值设备有电子台账、帐物相符；（1分）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3.固定资产卡片、低值设备入库单完整并归档；（1分）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97" w:type="dxa"/>
            <w:vAlign w:val="top"/>
          </w:tcPr>
          <w:p>
            <w:pPr>
              <w:spacing w:line="2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4.单价5万元以上的贵重设备有专人负责，有使用操作规程，有运行和维护记录，利用率较高。</w:t>
            </w: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8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exact"/>
        <w:rPr>
          <w:rFonts w:hint="eastAsia" w:ascii="宋体" w:hAnsi="宋体"/>
          <w:szCs w:val="21"/>
        </w:rPr>
      </w:pPr>
    </w:p>
    <w:p>
      <w:pPr>
        <w:spacing w:line="360" w:lineRule="exact"/>
        <w:rPr>
          <w:rFonts w:ascii="宋体" w:hAnsi="宋体"/>
          <w:szCs w:val="21"/>
        </w:rPr>
      </w:pPr>
    </w:p>
    <w:p>
      <w:pPr>
        <w:spacing w:line="360" w:lineRule="exact"/>
        <w:rPr>
          <w:rFonts w:ascii="宋体" w:hAnsi="宋体"/>
          <w:szCs w:val="21"/>
        </w:rPr>
      </w:pPr>
    </w:p>
    <w:p>
      <w:pPr>
        <w:spacing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系部秘书（签字）：</w:t>
      </w:r>
      <w:r>
        <w:rPr>
          <w:rFonts w:ascii="宋体" w:hAnsi="宋体"/>
          <w:szCs w:val="21"/>
        </w:rPr>
        <w:t xml:space="preserve">                              </w:t>
      </w:r>
      <w:r>
        <w:rPr>
          <w:rFonts w:hint="eastAsia" w:ascii="宋体" w:hAnsi="宋体"/>
          <w:szCs w:val="21"/>
        </w:rPr>
        <w:t>教学主任（签字）：</w:t>
      </w:r>
      <w:r>
        <w:rPr>
          <w:rFonts w:ascii="宋体" w:hAnsi="宋体"/>
          <w:szCs w:val="21"/>
        </w:rPr>
        <w:t xml:space="preserve">                          </w:t>
      </w:r>
      <w:r>
        <w:rPr>
          <w:rFonts w:hint="eastAsia" w:ascii="宋体" w:hAnsi="宋体"/>
          <w:szCs w:val="21"/>
        </w:rPr>
        <w:t>教务处（签字）：</w:t>
      </w:r>
      <w:r>
        <w:rPr>
          <w:rFonts w:ascii="宋体" w:hAnsi="宋体"/>
          <w:szCs w:val="21"/>
        </w:rPr>
        <w:t xml:space="preserve">      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bookmarkStart w:id="0" w:name="_GoBack"/>
      <w:bookmarkEnd w:id="0"/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盖章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737" w:right="1134" w:bottom="73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  <w:sz w:val="21"/>
        <w:szCs w:val="21"/>
      </w:rPr>
    </w:pPr>
    <w:r>
      <w:rPr>
        <w:rStyle w:val="9"/>
        <w:rFonts w:hint="eastAsia"/>
        <w:sz w:val="21"/>
        <w:szCs w:val="21"/>
      </w:rPr>
      <w:t>―</w:t>
    </w:r>
    <w:r>
      <w:rPr>
        <w:rStyle w:val="9"/>
        <w:sz w:val="21"/>
        <w:szCs w:val="21"/>
      </w:rPr>
      <w:t xml:space="preserve"> </w:t>
    </w:r>
    <w:r>
      <w:rPr>
        <w:rStyle w:val="9"/>
        <w:sz w:val="21"/>
        <w:szCs w:val="21"/>
      </w:rPr>
      <w:fldChar w:fldCharType="begin"/>
    </w:r>
    <w:r>
      <w:rPr>
        <w:rStyle w:val="9"/>
        <w:sz w:val="21"/>
        <w:szCs w:val="21"/>
      </w:rPr>
      <w:instrText xml:space="preserve">PAGE  </w:instrText>
    </w:r>
    <w:r>
      <w:rPr>
        <w:rStyle w:val="9"/>
        <w:sz w:val="21"/>
        <w:szCs w:val="21"/>
      </w:rPr>
      <w:fldChar w:fldCharType="separate"/>
    </w:r>
    <w:r>
      <w:rPr>
        <w:rStyle w:val="9"/>
        <w:sz w:val="21"/>
        <w:szCs w:val="21"/>
      </w:rPr>
      <w:t>1</w:t>
    </w:r>
    <w:r>
      <w:rPr>
        <w:rStyle w:val="9"/>
        <w:sz w:val="21"/>
        <w:szCs w:val="21"/>
      </w:rPr>
      <w:fldChar w:fldCharType="end"/>
    </w:r>
    <w:r>
      <w:rPr>
        <w:rStyle w:val="9"/>
        <w:sz w:val="21"/>
        <w:szCs w:val="21"/>
      </w:rPr>
      <w:t xml:space="preserve"> </w:t>
    </w:r>
    <w:r>
      <w:rPr>
        <w:rStyle w:val="9"/>
        <w:rFonts w:hint="eastAsia"/>
        <w:sz w:val="21"/>
        <w:szCs w:val="21"/>
      </w:rPr>
      <w:t>―</w:t>
    </w:r>
    <w:r>
      <w:rPr>
        <w:rStyle w:val="9"/>
        <w:sz w:val="21"/>
        <w:szCs w:val="21"/>
      </w:rPr>
      <w:t xml:space="preserve"> 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FD79E"/>
    <w:multiLevelType w:val="singleLevel"/>
    <w:tmpl w:val="58AFD79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